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258"/>
        <w:gridCol w:w="2280"/>
        <w:gridCol w:w="5375"/>
        <w:gridCol w:w="645"/>
        <w:gridCol w:w="705"/>
        <w:gridCol w:w="690"/>
        <w:gridCol w:w="15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36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武汉城市职业学院2020年教学与人才培养工作绩效考核表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60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学院（签章）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               填表时间  _________________________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考核项目名称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考核要素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考核内容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考核内容说明或描述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分值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自评分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考核分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一、常规教学（满分30分）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常规运行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1.教学秩序良好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全年无教学事故。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教务处认定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2.专题研究教学工作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学院每学期召开专题教学工作会议不少于3次，会议有安排、有记录等，每次计0.5分，满分3分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学院提供材料，教务处认定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3.领导巡视与听课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领导每周至少巡视一次教学场所，每次听课计0.5分，满分4分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学院提供材料，教务处认定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4.教研活动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各教研室每学期不少于4次教研活动，教研活动有主题、有记录。每次计0.5分，满分4分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学院提供材料，教务处认定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5.教学资料发放及领用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各项教学资料能按时发放，迟发、漏发一次减1分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教务处认定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6.调课、停课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按程序办理手续，未按规定调停课一次减1分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教务处认定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7.评教评学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教师评学完成率100%，学生评教完成率100%得满分，每名未按时参评教师减0.5分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教务处认定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责任课堂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1.立德树人</w:t>
            </w:r>
          </w:p>
        </w:tc>
        <w:tc>
          <w:tcPr>
            <w:tcW w:w="5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坚持习近平新时代中国特色社会主义思想，坚持立德树人，抓好课堂教学主阵地，把控课堂意识形态，深入落实到师德师风上。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教务处认定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  <w:jc w:val="center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2.信息化教学</w:t>
            </w:r>
          </w:p>
        </w:tc>
        <w:tc>
          <w:tcPr>
            <w:tcW w:w="53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智慧职教云平台教师登录率达学校平均值，或采用其他信息化平台的，登录率达100%，每名未登录教师减0.5分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教务处认定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二、质量保证体系运行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（满分40分）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人才培养方案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专业人才培养方案的制（修）定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按时完成人才培养方案制（修）定工作,符合指导意见要求，教学计划与实施计划相符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教务处认定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质量年报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报告、典型案例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</w:rPr>
              <w:t>按时提供本院诊改报告得2分，提供质量年报典型案例一份得1分。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教务处认定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人才培养工作状态数据平台采集情况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4.2校外实习实训基地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（1）基地数量（专业平均数）；满分2分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（2）接待学生量（专业平均数）；满分2分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Style w:val="4"/>
                <w:rFonts w:hint="default"/>
              </w:rPr>
            </w:pPr>
            <w:r>
              <w:rPr>
                <w:rStyle w:val="4"/>
                <w:rFonts w:hint="default"/>
                <w:lang w:bidi="ar"/>
              </w:rPr>
              <w:t>（3）基地使用时间（专业平均数）；满分2分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Style w:val="4"/>
                <w:rFonts w:hint="default"/>
                <w:lang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教务处认定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4"/>
                <w:rFonts w:hint="default"/>
              </w:rPr>
              <w:t>6.师资队伍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（1）</w:t>
            </w:r>
            <w:r>
              <w:rPr>
                <w:rStyle w:val="4"/>
                <w:rFonts w:hint="default"/>
              </w:rPr>
              <w:t>教师授课信息录入无遗漏。</w:t>
            </w:r>
            <w:r>
              <w:rPr>
                <w:rStyle w:val="4"/>
                <w:rFonts w:hint="default"/>
                <w:lang w:bidi="ar"/>
              </w:rPr>
              <w:t>满分2分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Style w:val="4"/>
                <w:rFonts w:hint="default"/>
                <w:lang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教务处认定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4"/>
                <w:rFonts w:hint="default"/>
              </w:rPr>
              <w:t>7.2课程设置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Style w:val="4"/>
                <w:rFonts w:hint="default"/>
              </w:rPr>
            </w:pPr>
            <w:r>
              <w:rPr>
                <w:rStyle w:val="4"/>
                <w:rFonts w:hint="default"/>
                <w:lang w:bidi="ar"/>
              </w:rPr>
              <w:t>（1）</w:t>
            </w:r>
            <w:r>
              <w:rPr>
                <w:rStyle w:val="4"/>
                <w:rFonts w:hint="default"/>
              </w:rPr>
              <w:t>开设课程填写无遗漏；</w:t>
            </w:r>
            <w:r>
              <w:rPr>
                <w:rStyle w:val="4"/>
                <w:rFonts w:hint="default"/>
                <w:lang w:bidi="ar"/>
              </w:rPr>
              <w:t>满分2分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Style w:val="4"/>
                <w:rFonts w:hint="default"/>
              </w:rPr>
            </w:pPr>
            <w:r>
              <w:rPr>
                <w:rStyle w:val="4"/>
                <w:rFonts w:hint="default"/>
                <w:lang w:bidi="ar"/>
              </w:rPr>
              <w:t>（2）</w:t>
            </w:r>
            <w:r>
              <w:rPr>
                <w:rStyle w:val="4"/>
                <w:rFonts w:hint="default"/>
              </w:rPr>
              <w:t>实践课时比例达50%以上；</w:t>
            </w:r>
            <w:r>
              <w:rPr>
                <w:rStyle w:val="4"/>
                <w:rFonts w:hint="default"/>
                <w:lang w:bidi="ar"/>
              </w:rPr>
              <w:t>满分2分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Style w:val="4"/>
                <w:rFonts w:hint="default"/>
              </w:rPr>
            </w:pPr>
            <w:r>
              <w:rPr>
                <w:rStyle w:val="4"/>
                <w:rFonts w:hint="default"/>
                <w:lang w:bidi="ar"/>
              </w:rPr>
              <w:t>（3）</w:t>
            </w:r>
            <w:r>
              <w:rPr>
                <w:rStyle w:val="4"/>
                <w:rFonts w:hint="default"/>
              </w:rPr>
              <w:t>职教云开设课程数</w:t>
            </w:r>
            <w:r>
              <w:rPr>
                <w:rStyle w:val="4"/>
                <w:rFonts w:hint="default"/>
                <w:lang w:bidi="ar"/>
              </w:rPr>
              <w:t>（专业平均数）</w:t>
            </w:r>
            <w:r>
              <w:rPr>
                <w:rStyle w:val="4"/>
                <w:rFonts w:hint="default"/>
              </w:rPr>
              <w:t>；</w:t>
            </w:r>
            <w:r>
              <w:rPr>
                <w:rStyle w:val="4"/>
                <w:rFonts w:hint="default"/>
                <w:lang w:bidi="ar"/>
              </w:rPr>
              <w:t>满分2分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Style w:val="4"/>
                <w:rFonts w:hint="default"/>
              </w:rPr>
            </w:pPr>
            <w:r>
              <w:rPr>
                <w:rStyle w:val="4"/>
                <w:rFonts w:hint="default"/>
                <w:lang w:bidi="ar"/>
              </w:rPr>
              <w:t>（4）</w:t>
            </w:r>
            <w:r>
              <w:rPr>
                <w:rStyle w:val="4"/>
                <w:rFonts w:hint="default"/>
              </w:rPr>
              <w:t>使用国家规划教材数</w:t>
            </w:r>
            <w:r>
              <w:rPr>
                <w:rStyle w:val="4"/>
                <w:rFonts w:hint="default"/>
                <w:lang w:bidi="ar"/>
              </w:rPr>
              <w:t>（专业平均数）</w:t>
            </w:r>
            <w:r>
              <w:rPr>
                <w:rStyle w:val="4"/>
                <w:rFonts w:hint="default"/>
              </w:rPr>
              <w:t>；</w:t>
            </w:r>
            <w:r>
              <w:rPr>
                <w:rStyle w:val="4"/>
                <w:rFonts w:hint="default"/>
                <w:lang w:bidi="ar"/>
              </w:rPr>
              <w:t>满分2分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Style w:val="4"/>
                <w:rFonts w:hint="default"/>
              </w:rPr>
            </w:pPr>
            <w:r>
              <w:rPr>
                <w:rStyle w:val="4"/>
                <w:rFonts w:hint="default"/>
                <w:lang w:bidi="ar"/>
              </w:rPr>
              <w:t>（5）</w:t>
            </w:r>
            <w:r>
              <w:rPr>
                <w:rStyle w:val="4"/>
                <w:rFonts w:hint="default"/>
              </w:rPr>
              <w:t>课证融通课程数</w:t>
            </w:r>
            <w:r>
              <w:rPr>
                <w:rStyle w:val="4"/>
                <w:rFonts w:hint="default"/>
                <w:lang w:bidi="ar"/>
              </w:rPr>
              <w:t>（专业平均数）</w:t>
            </w:r>
            <w:r>
              <w:rPr>
                <w:rStyle w:val="4"/>
                <w:rFonts w:hint="default"/>
              </w:rPr>
              <w:t>；</w:t>
            </w:r>
            <w:r>
              <w:rPr>
                <w:rStyle w:val="4"/>
                <w:rFonts w:hint="default"/>
                <w:lang w:bidi="ar"/>
              </w:rPr>
              <w:t>满分2分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Style w:val="4"/>
                <w:rFonts w:hint="default"/>
                <w:lang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教务处认定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4"/>
                <w:rFonts w:hint="default"/>
              </w:rPr>
              <w:t>7.3.1职业资格证书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Style w:val="4"/>
                <w:rFonts w:hint="default"/>
              </w:rPr>
            </w:pPr>
            <w:r>
              <w:rPr>
                <w:rStyle w:val="4"/>
                <w:rFonts w:hint="default"/>
                <w:lang w:bidi="ar"/>
              </w:rPr>
              <w:t>（1）</w:t>
            </w:r>
            <w:r>
              <w:rPr>
                <w:rStyle w:val="4"/>
                <w:rFonts w:hint="default"/>
              </w:rPr>
              <w:t>专业全覆盖；</w:t>
            </w:r>
            <w:r>
              <w:rPr>
                <w:rStyle w:val="4"/>
                <w:rFonts w:hint="default"/>
                <w:lang w:bidi="ar"/>
              </w:rPr>
              <w:t>满分2分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Style w:val="4"/>
                <w:rFonts w:hint="default"/>
                <w:lang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教务处认定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4"/>
                <w:rFonts w:hint="default"/>
              </w:rPr>
              <w:t>7.4顶岗实习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Style w:val="4"/>
                <w:rFonts w:hint="default"/>
              </w:rPr>
            </w:pPr>
            <w:r>
              <w:rPr>
                <w:rStyle w:val="4"/>
                <w:rFonts w:hint="default"/>
                <w:lang w:bidi="ar"/>
              </w:rPr>
              <w:t>（1）</w:t>
            </w:r>
            <w:r>
              <w:rPr>
                <w:rStyle w:val="4"/>
                <w:rFonts w:hint="default"/>
              </w:rPr>
              <w:t>企业录用率</w:t>
            </w:r>
            <w:r>
              <w:rPr>
                <w:rStyle w:val="4"/>
                <w:rFonts w:hint="default"/>
                <w:lang w:bidi="ar"/>
              </w:rPr>
              <w:t>（专业平均数）；满分2分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Style w:val="4"/>
                <w:rFonts w:hint="default"/>
              </w:rPr>
            </w:pPr>
            <w:r>
              <w:rPr>
                <w:rStyle w:val="4"/>
                <w:rFonts w:hint="default"/>
                <w:lang w:bidi="ar"/>
              </w:rPr>
              <w:t>（2）</w:t>
            </w:r>
            <w:r>
              <w:rPr>
                <w:rStyle w:val="4"/>
                <w:rFonts w:hint="default"/>
              </w:rPr>
              <w:t>顶岗实习对口率</w:t>
            </w:r>
            <w:r>
              <w:rPr>
                <w:rStyle w:val="4"/>
                <w:rFonts w:hint="default"/>
                <w:lang w:bidi="ar"/>
              </w:rPr>
              <w:t>（专业平均数）；满分2分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Style w:val="4"/>
                <w:rFonts w:hint="default"/>
                <w:lang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教务处认定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7.5.1产学合作基本情况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（1）合作企业数（专业平均数）；满分2分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（2）订单培养数（专业平均数）；满分2分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（3）共同开发课程数（专业平均数）；满分2分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（4）共同开发教材数（专业平均数）；满分2分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Style w:val="4"/>
                <w:rFonts w:hint="default"/>
              </w:rPr>
            </w:pPr>
            <w:r>
              <w:rPr>
                <w:rStyle w:val="4"/>
                <w:rFonts w:hint="default"/>
                <w:lang w:bidi="ar"/>
              </w:rPr>
              <w:t>（5）接收实习学生数（专业平均数）；满分2分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Style w:val="4"/>
                <w:rFonts w:hint="default"/>
                <w:lang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教务处认定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三、重点项目标志性成果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（满分30分）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人才培养模式改革</w:t>
            </w:r>
          </w:p>
        </w:tc>
        <w:tc>
          <w:tcPr>
            <w:tcW w:w="7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开展1+X试点建设项目、现代学徒制项目、其它项目的立项、建设期、结项验收的每项分别计分30、15、30分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学院提供材料，教务处认定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专业建设</w:t>
            </w:r>
          </w:p>
        </w:tc>
        <w:tc>
          <w:tcPr>
            <w:tcW w:w="7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品牌、特色、骨干等专业建设项目，教学资源库、职业教育本科专业教学标准、高职专业教学标准、教育部专业目录调整等以专业为单位的建设项目的立项、建设期、结项验收的每项分别计分30、15、30分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学院提供材料，教务处认定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课程与教材建设</w:t>
            </w:r>
          </w:p>
        </w:tc>
        <w:tc>
          <w:tcPr>
            <w:tcW w:w="7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精品在线开放课程、国家规划教材的立项、验收、认定，课程标准的制定等项目的立项、建设期、结项验收的每项分别计分30、15、30分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学院提供材料，教务处认定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技能大赛</w:t>
            </w:r>
          </w:p>
        </w:tc>
        <w:tc>
          <w:tcPr>
            <w:tcW w:w="7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A类大赛：世界技能大赛（中国首届技能大赛）、全国职业技能大赛（含教师教学能力大赛）、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“挑战杯”全国大学生系列科技学术竞赛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中国“互联网+”大学生创新创业大赛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B类大赛：除上述赛项外的其它赛项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学院提供材料，教务处认定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产教融合与校企合作</w:t>
            </w:r>
          </w:p>
        </w:tc>
        <w:tc>
          <w:tcPr>
            <w:tcW w:w="76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产业学院、职教集团等有关建设项目立项、建设期、结项验收的每项分别计分30、15、30分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学院提供材料，教务处认定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提质培优项目申报</w:t>
            </w:r>
          </w:p>
        </w:tc>
        <w:tc>
          <w:tcPr>
            <w:tcW w:w="7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提交的《职业教育提质培优行动计划》项目暂按校级、每个项目计2分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教务处认定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教学研究项目</w:t>
            </w:r>
          </w:p>
        </w:tc>
        <w:tc>
          <w:tcPr>
            <w:tcW w:w="76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国家级教学研究项目立项、研究中、结题的每项分别计分30、15、30分；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省高等学校省级教学研究项目立项、研究中、结题的每项分别计分10、5、10分；</w:t>
            </w:r>
          </w:p>
          <w:p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市属高等学校教学研究项目立项、研究中、结题的每项分别计分3、1、3分；</w:t>
            </w:r>
          </w:p>
          <w:p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校级教学研究项目立项、研究中、结题的每项分别计分2、1、2分；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教务处认定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教学成果奖</w:t>
            </w:r>
          </w:p>
        </w:tc>
        <w:tc>
          <w:tcPr>
            <w:tcW w:w="76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国家、省、市、校级教学成果奖每项分别计分30、10、3、2分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教务处认定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四、特色成果（加分项）</w:t>
            </w:r>
          </w:p>
        </w:tc>
        <w:tc>
          <w:tcPr>
            <w:tcW w:w="8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学院教学工作过程中产生的特色成果，每项成果计2分，满分10分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学院提供材料，教务处认定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合计：</w:t>
            </w:r>
          </w:p>
        </w:tc>
        <w:tc>
          <w:tcPr>
            <w:tcW w:w="891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分值计算说明：</w:t>
      </w:r>
    </w:p>
    <w:p>
      <w:pPr>
        <w:ind w:firstLine="560" w:firstLineChars="2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1.本次考核部分项目指标设置权重和最高得分值，需通过换算计算得分。学院自评分请填写原始计算分；</w:t>
      </w:r>
    </w:p>
    <w:p>
      <w:pPr>
        <w:widowControl/>
        <w:ind w:firstLine="560" w:firstLineChars="200"/>
        <w:jc w:val="left"/>
        <w:textAlignment w:val="center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2.人才培养工作状态数据平台采集的各项指标，横向对比各学院各项专业数据指标，根据赋分权重，每项得分最高的学院获单项满分，其他学院等比递减得分。总得分最高的学院获满分，其他学院等比递减得分；</w:t>
      </w:r>
    </w:p>
    <w:p>
      <w:pPr>
        <w:widowControl/>
        <w:ind w:firstLine="560" w:firstLineChars="200"/>
        <w:jc w:val="left"/>
        <w:textAlignment w:val="center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3.重点项目的标志性成果，国家级一、二、三等奖分别为30、20、12分，省级一、二、三等奖分别为10、7、4分，市级一、二、三等奖分别为3、2、1分，校级一、二、三等奖分别为2、1、0.5分。标志性成果未认定奖项等级的按一等奖赋分计算，认定获奖等级的按等级分值赋分。横向对比各学院各项数据指标，根据赋分权重，每项得分最高的学院获单项满分，其他学院等比递减得分；</w:t>
      </w:r>
    </w:p>
    <w:p>
      <w:pPr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4.技能大赛赛项的计分：每个专业只认定1个赛项的最高奖项，A类赛项按上述等级赋分，B类赛项按上述分值标准的30%赋分。得出总分后按专业平均分计算，专业平均分最高的学院获满分，其他学院等比递减得分；</w:t>
      </w:r>
    </w:p>
    <w:p>
      <w:pPr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5.特色成果为加分项，经教务处认定有效的项目成果每项加2分，封顶10分；</w:t>
      </w:r>
    </w:p>
    <w:p>
      <w:pPr>
        <w:ind w:firstLine="560" w:firstLineChars="200"/>
        <w:jc w:val="both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6.计算出各学院各项得分后汇总，总得分最高的学院获满分100分，其他学院等比递减得分。学院最终得分为学院总分+特色分。</w:t>
      </w:r>
    </w:p>
    <w:p>
      <w:bookmarkStart w:id="0" w:name="_GoBack"/>
      <w:bookmarkEnd w:id="0"/>
    </w:p>
    <w:sectPr>
      <w:pgSz w:w="16838" w:h="11906" w:orient="landscape"/>
      <w:pgMar w:top="1304" w:right="1797" w:bottom="1304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434CD"/>
    <w:rsid w:val="2B24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2021-01-03T06:08:00Z</dcterms:created>
  <dc:creator>Administrator</dc:creator>
  <cp:lastModifiedBy>Administrator</cp:lastModifiedBy>
  <dcterms:modified xsi:type="dcterms:W3CDTF">2021-01-03T06:09:26Z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